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bdr w:val="none" w:color="auto" w:sz="0" w:space="0"/>
          <w:shd w:val="clear" w:fill="F1F1F1"/>
        </w:rPr>
        <w:t>《国家社会科学基金项目资金管理办法》具体执行有关事项问答</w:t>
      </w:r>
      <w:r>
        <w:rPr>
          <w:rFonts w:hint="eastAsia" w:ascii="宋体" w:hAnsi="宋体" w:eastAsia="宋体" w:cs="宋体"/>
          <w:i w:val="0"/>
          <w:caps w:val="0"/>
          <w:color w:val="3A3A3A"/>
          <w:spacing w:val="0"/>
          <w:sz w:val="36"/>
          <w:szCs w:val="36"/>
          <w:bdr w:val="none" w:color="auto" w:sz="0" w:space="0"/>
          <w:shd w:val="clear" w:fill="F1F1F1"/>
        </w:rPr>
        <w:br w:type="textWrapping"/>
      </w:r>
      <w:r>
        <w:rPr>
          <w:rFonts w:hint="eastAsia" w:ascii="宋体" w:hAnsi="宋体" w:eastAsia="宋体" w:cs="宋体"/>
          <w:i w:val="0"/>
          <w:caps w:val="0"/>
          <w:color w:val="3A3A3A"/>
          <w:spacing w:val="0"/>
          <w:sz w:val="36"/>
          <w:szCs w:val="36"/>
          <w:bdr w:val="none" w:color="auto" w:sz="0" w:space="0"/>
          <w:shd w:val="clear" w:fill="F1F1F1"/>
        </w:rPr>
        <w:br w:type="textWrapping"/>
      </w:r>
      <w:r>
        <w:rPr>
          <w:rFonts w:hint="eastAsia" w:ascii="宋体" w:hAnsi="宋体" w:eastAsia="宋体" w:cs="宋体"/>
          <w:i w:val="0"/>
          <w:caps w:val="0"/>
          <w:color w:val="3A3A3A"/>
          <w:spacing w:val="0"/>
          <w:sz w:val="36"/>
          <w:szCs w:val="36"/>
          <w:bdr w:val="none" w:color="auto" w:sz="0" w:space="0"/>
          <w:shd w:val="clear" w:fill="F1F1F1"/>
        </w:rPr>
        <w:t>（2016年9月）</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bdr w:val="none" w:color="auto" w:sz="0" w:space="0"/>
          <w:shd w:val="clear" w:fill="F1F1F1"/>
        </w:rPr>
        <w:t>  2016年09月27日11:57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近日，财政部、全国社科规划领导小组联合修订印发了《国家社会科学基金项目资金管理办法（财教〔2016〕304号，以下简称《资金管理办法》）。为了帮助社科界广大专家学者、项目责任单位和有关管理部门更好地理解和执行《资金管理办法》，现就国家社科基金项目资金使用和管理中需要注意的问题解答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一、把项目资金分为直接费用和间接费用的主要考虑是什么？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《资金管理办法》的最大变化之一是把项目资金分为直接费用和间接费用。</w:t>
      </w:r>
      <w:bookmarkStart w:id="0" w:name="_GoBack"/>
      <w:bookmarkEnd w:id="0"/>
      <w:r>
        <w:rPr>
          <w:rFonts w:hint="eastAsia" w:ascii="宋体" w:hAnsi="宋体" w:eastAsia="宋体" w:cs="宋体"/>
          <w:b w:val="0"/>
          <w:i w:val="0"/>
          <w:caps w:val="0"/>
          <w:color w:val="000000"/>
          <w:spacing w:val="0"/>
          <w:sz w:val="21"/>
          <w:szCs w:val="21"/>
          <w:bdr w:val="none" w:color="auto" w:sz="0" w:space="0"/>
          <w:shd w:val="clear" w:fill="F1F1F1"/>
        </w:rPr>
        <w:t>近些年来，社科界不少专家学者和项目责任单位反映，原《经费管理办法》对责任单位间接成本和管理费用的补偿不足，承担研究任务的科研人员也难以从项目经费中获得激励。现《资金管理办法》以间接费用形式完善了对责任单位间接成本和管理费用的补偿，以绩效支出形式提供了对科研人员的激励。这有利于进一步营造良好科研环境，激发社科界广大专家学者的积极性和创造性，更好地推动哲学社会科学繁荣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二、直接费用包括哪些开支科目，如何管理和使用？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直接费用是指在项目研究过程中发生的与之直接相关的费用，根据资金用途不同，具体分为8个开支科目：资料费、数据采集费、会议费/差旅费/国际合作交流费、设备费、专家咨询费、劳务费、印刷出版费和其他支出。直接费用所有开支科目均不设比例限制，由项目负责人按照项目研究实际需要编制，并按照国家有关规定开支。直接费用纳入责任单位财务统一管理，单独核算，专款专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三、哪些费用可以列支资料费？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研究过程中需要支付的图书（包括外文图书）购置费，资料收集、整理、复印、翻拍、翻译费，专用软件购买费，文献检索费等，均可列支资料费。相比原《经费管理办法》，资料费开支范围增加了文献检索费，并明确纳入外文图书购置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四、数据采集费开支范围有哪些？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数据采集费指在项目研究过程中发生的调查、访谈、数据购买、数据分析及相应技术服务购买等支出的费用。一般而言，社会科学各学科研究需要进行数据采集，既包括直接收集一手数据，也包括购买二手数据及相应的数据分析服务。相比原《经费管理办法》，数据采集费开支范围增加了数据购买、数据分析及相应技术服务购买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五、会议费/差旅费/国际合作与交流费如何使用?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把原《经费管理办法》会议费、差旅费、国际合作与交流费合并为一个科目，项目研究过程中开展学术研讨、咨询交流、考察调研等活动而发生的会议、交通、食宿等费用，以及项目研究人员出国及赴港澳台、外国专家来华及港澳台专家来内地开展学术合作与交流的费用，均可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会议费/差旅费/国际合作与交流费由项目负责人按照项目研究实际需要编制预算。这三项费用合计不超过直接费用20%的，不需要提供预算测算依据；超过直接费用20%的，需要对计划开展的会议、调研、国际合作与交流等所需经费情况作出具体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会议费/差旅费/国际合作与交流费应当按照国家对于高校和科研院所差旅、会议、出国管理有关规定和标准开支。为了准确编制预算，该科目可大体分为会议费、差旅费、国际合作与交流费三个子项，但在经费使用过程中，完全由项目负责人自主统筹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六、开支设备费应当注意什么？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1.项目研究过程中购置设备和设备耗材、升级维护现有设备以及租用外单位设备而发生的费用，可列支设备费。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2.设备费开支应当与项目研究密切相关，严格控制设备购置，严禁重复购置、过度购置，鼓励共享、租赁以及对现有设备进行升级。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3.设备要和办公用品区别开来，一般来说，电脑、打印机、复印机、数码相机及其耗材等属于设备，笔墨纸张、文件夹等属于办公用品。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4.使用项目资金购置的设备属于国有资产，按照国有资产管理有关规定统一管理。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七、什么是专家咨询费，对支付对象有何要求？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专家咨询费是指在项目研究过程中支付给临时聘请的咨询专家的费用，支出标准应当按照国家有关规定执行。一般来说，支出咨询费需满足两个条件：一是支付对象确实属于项目研究领域的专家；二是支付对象切实发挥了咨询作用，推动了项目研究的顺利开展。需要注意的是，专家咨询费不得支付给本课题组成员以及履行项目管理职务行为的相关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八、劳务费开支范围有何变化，标准如何确定？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资金管理办法》扩大了劳务费开支范围，在参与项目研究的在校研究生等人员的基础上，增加了博士后、访问学者、项目聘用研究人员和科研辅助人员，并将临时聘用人员的社会保险补助费用纳入劳务费开支范围。同时规定，劳务费预算不设比例限制，按照项目研究实际需要编制。项目聘用人员的劳务费开支标准参照当地科学研究和技术服务业人员平均工资水平以及在项目研究中承担的工作任务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对以上规定应当全面准确理解：第一，劳务费支付对象必须直接参与项目研究或者参与调查访谈、考古发掘、科学实验等科研辅助活动。第二，劳务费支付对象包括研究生、博士后、访问学者以及项目聘用的研究人员、科研辅助人员等。第三，项目负责人应当综合考虑项目研究实际需要，科学合理编制劳务费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九、支出印刷出版费有什么要求？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在项目研究过程中支付的打印费、印刷费及阶段性成果出版费，可列支印刷出版费。需要注意的是，国家社科基金项目资金不得支出论文发表版面费，此类支出不得列支印刷出版费。另外，除后期资助项目、中华学术外译项目外，国家社科基金其他类别项目的最终成果出版费也不得列支印刷出版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十、其他支出如何列支？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其他支出属于项目预算的“兜底科目”，项目研究过程中发生的除上述7个科目之外的其他支出均可列支。需注意两个问题：一是其他支出中的各项具体支出应当在填报项目预算时单独列示，单独核定。二是其他支出一般包括笔墨纸张等办公用品费、通讯费、互联网服务费等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十一、间接费用如何核定和使用？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间接费用使用包括三个方面，即补偿责任单位为项目研究提供的现有仪器设备及房屋、水、电、气、暖消耗等间接成本，管理费用，以及为提高科研工作绩效而安排的绩效支出。间接费用由责任单位结合实际情况，在综合考虑单位与个人、当前与长远、激励与约束等关系的基础上，统筹管理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间接费用采用分段超额累退比例法计算，按照不超过项目资助总额的一定比例核定。具体比例如下：50万元及以下部分为30%；超过50万元至500万元的部分为20%；超过500万元的部分为13%。比如，2016年年度项目、青年项目和西部项目资助总额均为20万元，间接费用为20×30%=6（万元）；重大项目资助总额为80万元，间接费用为50×30%+（80-50）×20%=21（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3.间接费用核定与责任单位信用等级挂钩，具体管理规定在《资金管理办法》实施一段时间以后，根据工作需要另行制定。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4.责任单位不得在核定的间接费用以外再以任何名义在项目资金中重复提取、列支相关费用。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十二、绩效支出如何核定？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绩效支出由责任单位在核定的间接费用范围内安排。责任单位在核定绩效支出时需注意以下几点：第一，要处理好间接成本和绩效支出的关系，在制定本单位间接费用使用和管理相关制度时，应充分听取科研人员的意见，防止片面化、简单化。第二，坚持公平公正，绩效奖励应当与科研人员在项目工作中的实际贡献相一致。第三，坚持分期安排，要结合项目研究进度和完成质量来安排绩效支出，发挥好绩效支出的奖优惩怠作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十三、项目资金预算编制和审核程序是怎样的？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1．国家社科基金项目批准立项后，全国社科规划办将发出立项通知和项目资金预算表。项目负责人应当在收到立项通知之日起30日内完成预算编制。无特殊情况，逾期不提交的，视为自动放弃资助。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项目负责人应当按照目标相关性、政策相符性和经济合理性原则，根据项目研究需要和资金开支范围，科学合理、实事求是地编制项目预算，并按要求在项目预算表相应栏目说明主要用途和测算理由。编制预算时，不考虑不可预见因素、前期投入、预留资金及配套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3.责任单位科研和财务管理部门对项目预算进行审核，按要求填写相关内容，报所在省区市社科规划办或在京委托管理机构审核后，提交全国社科规划办审核。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4.项目资金预算通过审核后，即成为有约束力的项目资金使用和管理依据，项目负责人应当严格执行，不能随意变更。项目资金预算未通过审核的，应当按要求调整后重新上报。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十四、项目资金如何支付？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国家社科基金项目资金的资金支付执行国库集中支付制度。属于政府采购范围的，应当按照政府采购有关规定执行。项目资金按照项目类别和完成期限分期分批支付。项目资金实行预留资金制度，预留部分资金在项目成果通过审核验收后支付，2016年项目资金预留比例为5%。未通过审核验收的项目，预留资金不予支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十五、项目资金能否外拨，如何外拨？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1.跨单位合作的项目，确需外拨资金的，应当在项目预算中单独列示，并附外拨资金直接费用支出预算。外拨多个单位的，需分别编制预算。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2.间接费用外拨金额，由责任单位和合作研究单位协商确定，但责任单位间接费用和外拨间接费用之和不得超过该项目核定的间接费用。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3.责任单位应当及时按照合作研究协议和审核通过的项目预算转拨合作研究单位资金。接受外拨资金的合作研究单位是外拨资金管理的责任主体，应当依据《资金管理办法》对资金使用予以管理和监督。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十六、项目预算如何调剂？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负责人应当严格执行批准后的项目预算。确需调剂的，应当按规定报批。考虑到科学研究的探索性和不确定性，《资金管理办法》规定，在项目预算总额不变的情况下，除增列外拨资金以外的所有预算调剂审批事项全部下放到项目责任单位，但会议费/差旅费/国际合作与交流费、专家咨询费、劳务费预算一般不予调增，如有特殊情况确需调增的，应报全国社科规划办审批。责任单位应当按规定及时审批或上报项目预算调剂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十七、项目资金如何支出和报销？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责任单位和项目负责人要严格执行《关于中央财政科研项目使用公务卡结算有关事项的通知》（财库[2015]245号）对应当实行 “公务卡”结算的支出，按照中央财政科研项目使用公务卡结算的有关规定执行。专家咨询费、劳务费等支出，原则上应当通过银行转账方式结算，从严控制现金支出事项。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对于野外考察、数据采集等科研活动中无法取得发票或财政性票据的支出，在确保真实性的前提下，责任单位可按实际发生额予以报销。报销此类费用，应当提供具有收款人签名或手印的凭证以及项目负责人对相关情况的书面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十八、项目决算应当注意什么？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项目研究完成后，项目负责人应当会同科研、财务、审计、资产等管理部门及时清理账目与资产，如实编制《国家社会科学基金项目结项审批书》中的项目决算表，并附上财务部门提供的项目资金开支明细账。项目负责人和责任单位不得随意调账变动支出、随意修改记账凭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 有外拨资金的项目，由项目负责人汇总编制项目资金决算，并附上合作研究单位财务、审计部门审核签章后的开支明细账。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3.项目负责人提交项目资金决算时，应当附上项目预算表及有关项目预算调剂情况的说明。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十九、项目结余资金如何处理？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研究成果完成并通过审核验收后，剩余的项目资金为结余资金。结余资金留在责任单位，可用于项目最终成果出版及后续研究的直接支出。若项目研究成果通过审核验收2年后结余资金仍有剩余的，应当按原渠道退回。项目成果未通过审核验收的项目，或责任单位信用评价差的，结余资金不得留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二十、项目被终止或撤销后，项目资金如何处理？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对于因故被终止执行的项目的结余资金，以及因故被撤销的项目的已拨资金，责任单位应当在接到有关通知后30日内按原渠道退回国家社科基金。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二十一、使用项目资金形成的资产如何管理？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项目实施过程中，使用项目资金形成的固定资产、无形资产等属于国有资产，应当按照国有资产管理的有关规定执行。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二十二、项目负责人使用项目资金有何禁止性规定？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项目负责人应当依法依规使用项目资金，严格遵守“四不得”原则：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1.不得擅自调整外拨资金；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2.不得利用虚假票据套取资金；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3.不得通过编造虚假劳务合同、虚构人员名单等方式虚报冒领劳务费和专家咨询费；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4.不得使用项目资金支付各种罚款、捐款、赞助、投资等。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二十三、责任单位应当承担哪些管理和服务职责？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责任单位要认真落实国家有关政策规定，按照权责一致的要求，强化自我约束和自我规范，在服务中加强管理、在管理中做好服务，确保“接得住、管得好”。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责任单位应当制定项目资金内部管理办法，明确审批程序、管理要求和报销规定，落实项目预算调剂、间接费用统筹使用、劳务费分配管理、结余资金使用等管理权限，切实做到有规可依、有序可循，事有人管、责有人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2.责任单位应当加强项目预算审核把关，规范财务支出行为，完善内部风险防控机制，强化资金使用绩效评价，保障资金使用安全规范有效。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3.责任单位应当建立健全科研财务助理制度，为科研人员在项目预算编制和调剂、经费支出、项目资金决算和验收等方面提供专业化服务。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4.责任单位应当充分利用信息化手段，建立健全单位内部科研、财务、项目负责人共享的信息平台，提高科研管理效率和便利化程度。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5.责任单位项目资金管理和使用情况，要自觉接受国家财政、审计、监察部门和全国社科规划办的监督检查。责任单位应当积极配合，如实反映情况，提供有关资料。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二十四、各省区市社科规划办和在京委托管理机构应当承担哪些管理职责？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在国家社科基金项目三级管理体制中，各省区市社科规划办和在京委托管理机构对本地区本系统项目资金依法合规使用，担负着重要的管理职责。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1.加强项目预算审核，按照科学、合理、真实的原则，严格审核每年新立项目的资金预算，对审核不合格的项目预算，指出存在的问题，及时退回重新编制；审核合格的，按时报送全国社科规划办。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2.严格审核项目决算，对照项目预算仔细核对决算，对存在未附财务明细账、决算与预算严重不符、资金使用违规等问题的，及时退回并要求整改。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3.注重资金日常管理，根据各自实际，对本地区本系统责任单位和项目负责人的资金使用和管理情况进行不定期检查或专项审计。发现问题的，应当及时督促整改，并向全国社科规划办报告。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二十五、《资金管理办法》在建立健全监管机制方面有哪些新的举措？</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1.建立项目资金使用和管理情况的检查、审计、监督长效机制，建立项目资金绩效评价和结果应用制度，加强项目资金使用效益评估。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2.建立项目资金使用和管理的承诺机制，责任单位应当承诺依法依规履行项目资金管理的职责，项目负责人应当承诺提供真实的项目信息并认真遵守项目资金管理的有关规定。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4.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二十六、对违规行为如何处理？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《资金管理办法》规定，违反本办法规定的，依照《预算法》、《财政违法行为处罚处分条例》等国家有关规定追究法律责任。涉嫌犯罪的，依法移送司法机关处理。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为了规范和加强国家社科基金项目资金管理，全国社科规划办从2011年开始连续5年组织第三方机构对项目资金预算执行、使用审批、财务审核报销、固定资产管理和结余资金使用等情况进行全面独立审计，发现了一些突出问题，包括以虚假发票报销、支出与项目研究无关费用、课题组成员违规领取劳务费和专家咨询费、支付立项前费用、未经审批对外转拨资金、超预算支出等。各被审计单位按照全国社科规划办要求进行严格整改，对相关责任人员采取了追回违规支出、诫勉谈话、通报批评、撤销行政职务等处理措施，对涉嫌违纪或违法犯罪的，移交纪委或司法机关处理。今后，全国社科规划办将依据《资金管理办法》，继续对项目资金使用和管理情况开展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二十七、《资金管理办法》适用范围是什么？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1.《资金管理办法》自2016年9月7日起施行，适用于2016年（含）以后批准立项的国家社科基金各项目类型，以及教育学、艺术学、军事学三个单列学科。国家社科基金其他资助，未制定相关办法的，适用本办法。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2.2015年（含）以前立项的在研项目，区分以下两种情况：一是《资金管理办法》发布时，项目执行期已结束、进入审核验收环节的项目，按照原《经费管理办法》执行，不作调整。二是尚在执行期内的项目，由责任单位统筹考虑本单位实际情况，并与项目负责人充分协商后，在项目预算总额不变的前提下，自主选择间接费用和绩效支出安排、预算科目调剂等事项是否执行《资金管理办法》。如执行新规定，需履行单位内部有关调整审批程序，并符合预算调剂的有关规定。特别是新增间接费用的，责任单位应当逐一征求项目负责人的意见，按按照有关管理规定将项目资金自行分解为直接费用和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3.2015年（含）以前立项的在研项目，确需增列外拨资金的，应当按程序报全国社科规划办审批。在研项目的外拨资金，不包含间接费用或管理费。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24" w:lineRule="atLeast"/>
        <w:ind w:left="0" w:right="0" w:firstLine="0"/>
        <w:jc w:val="right"/>
        <w:rPr>
          <w:rFonts w:hint="eastAsia" w:ascii="宋体" w:hAnsi="宋体" w:eastAsia="宋体" w:cs="宋体"/>
          <w:b w:val="0"/>
          <w:i w:val="0"/>
          <w:caps w:val="0"/>
          <w:color w:val="3A3A3A"/>
          <w:spacing w:val="0"/>
          <w:sz w:val="21"/>
          <w:szCs w:val="21"/>
        </w:rPr>
      </w:pPr>
      <w:r>
        <w:rPr>
          <w:rFonts w:hint="eastAsia" w:ascii="宋体" w:hAnsi="宋体" w:eastAsia="宋体" w:cs="宋体"/>
          <w:b w:val="0"/>
          <w:i w:val="0"/>
          <w:caps w:val="0"/>
          <w:color w:val="3A3A3A"/>
          <w:spacing w:val="0"/>
          <w:sz w:val="21"/>
          <w:szCs w:val="21"/>
          <w:bdr w:val="none" w:color="auto" w:sz="0" w:space="0"/>
          <w:shd w:val="clear" w:fill="F1F1F1"/>
        </w:rPr>
        <w:t>(责编：李叶)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177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2016-10-08T06:37:46Z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