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27662">
      <w:pPr>
        <w:spacing w:line="360" w:lineRule="auto"/>
        <w:jc w:val="center"/>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镁合金孪晶诱导微结构竞争的高应变速率成形</w:t>
      </w:r>
      <w:r>
        <w:rPr>
          <w:rFonts w:hint="eastAsia" w:ascii="Times New Roman" w:hAnsi="Times New Roman" w:cs="Times New Roman"/>
          <w:b w:val="0"/>
          <w:bCs w:val="0"/>
          <w:sz w:val="24"/>
          <w:szCs w:val="24"/>
          <w:lang w:val="en-US" w:eastAsia="zh-CN"/>
        </w:rPr>
        <w:t>机理》提名2025年厦门市自然科学奖公示材料</w:t>
      </w:r>
    </w:p>
    <w:p w14:paraId="6AF45314">
      <w:pPr>
        <w:spacing w:line="360" w:lineRule="auto"/>
        <w:rPr>
          <w:rFonts w:hint="default" w:ascii="Times New Roman" w:hAnsi="Times New Roman" w:cs="Times New Roman"/>
          <w:sz w:val="18"/>
          <w:szCs w:val="18"/>
          <w:lang w:val="en-US" w:eastAsia="zh-CN"/>
        </w:rPr>
      </w:pPr>
      <w:r>
        <w:rPr>
          <w:rFonts w:hint="eastAsia" w:ascii="Times New Roman" w:hAnsi="Times New Roman" w:cs="Times New Roman"/>
          <w:b/>
          <w:bCs/>
          <w:sz w:val="18"/>
          <w:szCs w:val="18"/>
          <w:lang w:val="en-US" w:eastAsia="zh-CN"/>
        </w:rPr>
        <w:t>一、</w:t>
      </w:r>
      <w:r>
        <w:rPr>
          <w:rFonts w:hint="default" w:ascii="Times New Roman" w:hAnsi="Times New Roman" w:cs="Times New Roman"/>
          <w:b/>
          <w:bCs/>
          <w:sz w:val="18"/>
          <w:szCs w:val="18"/>
          <w:lang w:val="en-US" w:eastAsia="zh-CN"/>
        </w:rPr>
        <w:t>项目名称：</w:t>
      </w:r>
      <w:r>
        <w:rPr>
          <w:rFonts w:hint="default" w:ascii="Times New Roman" w:hAnsi="Times New Roman" w:cs="Times New Roman"/>
          <w:sz w:val="18"/>
          <w:szCs w:val="18"/>
          <w:lang w:val="en-US" w:eastAsia="zh-CN"/>
        </w:rPr>
        <w:t>镁合金孪晶诱导微结构竞争的高应变速率成形机理</w:t>
      </w:r>
    </w:p>
    <w:p w14:paraId="36F58A51">
      <w:pPr>
        <w:spacing w:line="360" w:lineRule="auto"/>
        <w:rPr>
          <w:rFonts w:hint="default" w:ascii="Times New Roman" w:hAnsi="Times New Roman" w:cs="Times New Roman"/>
          <w:sz w:val="18"/>
          <w:szCs w:val="18"/>
          <w:lang w:val="en-US" w:eastAsia="zh-CN"/>
        </w:rPr>
      </w:pPr>
      <w:r>
        <w:rPr>
          <w:rFonts w:hint="eastAsia" w:ascii="Times New Roman" w:hAnsi="Times New Roman" w:cs="Times New Roman"/>
          <w:b/>
          <w:bCs/>
          <w:sz w:val="18"/>
          <w:szCs w:val="18"/>
          <w:lang w:val="en-US" w:eastAsia="zh-CN"/>
        </w:rPr>
        <w:t>二、</w:t>
      </w:r>
      <w:r>
        <w:rPr>
          <w:rFonts w:hint="default" w:ascii="Times New Roman" w:hAnsi="Times New Roman" w:cs="Times New Roman"/>
          <w:b/>
          <w:bCs/>
          <w:sz w:val="18"/>
          <w:szCs w:val="18"/>
          <w:lang w:val="en-US" w:eastAsia="zh-CN"/>
        </w:rPr>
        <w:t>提名奖种：</w:t>
      </w:r>
      <w:r>
        <w:rPr>
          <w:rFonts w:hint="eastAsia" w:ascii="Times New Roman" w:hAnsi="Times New Roman" w:cs="Times New Roman"/>
          <w:b w:val="0"/>
          <w:bCs w:val="0"/>
          <w:sz w:val="18"/>
          <w:szCs w:val="18"/>
          <w:lang w:val="en-US" w:eastAsia="zh-CN"/>
        </w:rPr>
        <w:t>厦门市</w:t>
      </w:r>
      <w:r>
        <w:rPr>
          <w:rFonts w:hint="default" w:ascii="Times New Roman" w:hAnsi="Times New Roman" w:cs="Times New Roman"/>
          <w:sz w:val="18"/>
          <w:szCs w:val="18"/>
          <w:lang w:val="en-US" w:eastAsia="zh-CN"/>
        </w:rPr>
        <w:t>自然科学奖</w:t>
      </w:r>
    </w:p>
    <w:p w14:paraId="7611A8B2">
      <w:pPr>
        <w:spacing w:line="360" w:lineRule="auto"/>
        <w:rPr>
          <w:rFonts w:hint="default" w:ascii="Times New Roman" w:hAnsi="Times New Roman" w:cs="Times New Roman"/>
          <w:sz w:val="18"/>
          <w:szCs w:val="18"/>
          <w:lang w:val="en-US" w:eastAsia="zh-CN"/>
        </w:rPr>
      </w:pPr>
      <w:r>
        <w:rPr>
          <w:rFonts w:hint="eastAsia" w:ascii="Times New Roman" w:hAnsi="Times New Roman" w:cs="Times New Roman"/>
          <w:b/>
          <w:bCs/>
          <w:sz w:val="18"/>
          <w:szCs w:val="18"/>
          <w:lang w:val="en-US" w:eastAsia="zh-CN"/>
        </w:rPr>
        <w:t>三、</w:t>
      </w:r>
      <w:r>
        <w:rPr>
          <w:rFonts w:hint="default" w:ascii="Times New Roman" w:hAnsi="Times New Roman" w:cs="Times New Roman"/>
          <w:b/>
          <w:bCs/>
          <w:sz w:val="18"/>
          <w:szCs w:val="18"/>
          <w:lang w:val="en-US" w:eastAsia="zh-CN"/>
        </w:rPr>
        <w:t>提名单位：</w:t>
      </w:r>
      <w:r>
        <w:rPr>
          <w:rFonts w:hint="default" w:ascii="Times New Roman" w:hAnsi="Times New Roman" w:cs="Times New Roman"/>
          <w:sz w:val="18"/>
          <w:szCs w:val="18"/>
          <w:lang w:val="en-US" w:eastAsia="zh-CN"/>
        </w:rPr>
        <w:t>集美大学</w:t>
      </w:r>
    </w:p>
    <w:p w14:paraId="2EB5D66D">
      <w:pPr>
        <w:spacing w:line="360" w:lineRule="auto"/>
        <w:rPr>
          <w:rFonts w:hint="default" w:ascii="Times New Roman" w:hAnsi="Times New Roman" w:cs="Times New Roman"/>
          <w:sz w:val="18"/>
          <w:szCs w:val="18"/>
          <w:lang w:val="en-US" w:eastAsia="zh-CN"/>
        </w:rPr>
      </w:pPr>
      <w:r>
        <w:rPr>
          <w:rFonts w:hint="eastAsia" w:ascii="Times New Roman" w:hAnsi="Times New Roman" w:cs="Times New Roman"/>
          <w:b/>
          <w:bCs/>
          <w:sz w:val="18"/>
          <w:szCs w:val="18"/>
          <w:lang w:val="en-US" w:eastAsia="zh-CN"/>
        </w:rPr>
        <w:t>四、</w:t>
      </w:r>
      <w:r>
        <w:rPr>
          <w:rFonts w:hint="default" w:ascii="Times New Roman" w:hAnsi="Times New Roman" w:cs="Times New Roman"/>
          <w:b/>
          <w:bCs/>
          <w:sz w:val="18"/>
          <w:szCs w:val="18"/>
          <w:lang w:val="en-US" w:eastAsia="zh-CN"/>
        </w:rPr>
        <w:t>项目简介：</w:t>
      </w:r>
      <w:r>
        <w:rPr>
          <w:rFonts w:hint="default" w:ascii="Times New Roman" w:hAnsi="Times New Roman" w:cs="Times New Roman"/>
          <w:sz w:val="18"/>
          <w:szCs w:val="18"/>
          <w:lang w:val="en-US" w:eastAsia="zh-CN"/>
        </w:rPr>
        <w:t>镁合金作为国家关键战略金属材料，凭借其优异的高比强度/刚度及最轻金属结构材料特性，在航空航天、轨道交通、新能源汽车及3C电子等重大领域具有不可替代的应用前景。然而，其密排六方晶体结构固有的低成形极限、窄加工温窗及高应变速率敏感性，导致传统塑性成形依赖低应变速率、多道次、频繁退火的低效工艺，存在严重边裂、成材率低下、强韧性不足、成本偏高等关键瓶颈，限制了其规模化应用潜力。本项目围绕上述挑战开展研究，在镁合金塑性变形基础理论与强韧化机理方面取得重要进展：</w:t>
      </w:r>
    </w:p>
    <w:p w14:paraId="5A99251B">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揭示“孪晶诱导动态再结晶、第二相和微裂纹竞争形核”机制：系统阐明了在高应变速率变形下，孪生诱导的动态再结晶过程及第二相析出/分布，能够有效竞争微裂纹的形核位点，通过优先占据高能位置、释放局部应力，显著抑制微裂纹的萌生与早期扩展，打破了高应变速率必然加剧镁合金开裂的传统理念，为突破成形技术瓶颈提供了理论支持。</w:t>
      </w:r>
    </w:p>
    <w:p w14:paraId="2A0409CB">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2）阐明“孪晶-再结晶协同钝化裂纹”抑制边裂机理： 基于上述机制，深入揭示了高应变速率成形过程中，孪晶触发的动态再结晶所形成的新生细小晶粒，能够有效包裹、钝化裂纹尖端，通过消耗位错，减少应力集中，抑制裂纹扩展，显著提升高应变速率轧制成形工件成形质量与成材率。该机理明确了孪晶及其诱导的再结晶在抑制边裂中的协同主导作用。</w:t>
      </w:r>
    </w:p>
    <w:p w14:paraId="51084F2B">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揭示“孪晶诱导的多尺度组织协同强化”机理：利用高应变速率成形技术成功制备了孪晶诱导的多尺度组织镁合金，并揭示了孪晶强化、剪切带强化、细晶强化与第二相强化四种机制在微观尺度的协同作用规律。明确了孪晶在多尺度组织形成及强韧化中的核心地位，为设计在高速重载严苛工况下具有优异抗冲击性能的镁合金提供了理论支撑。</w:t>
      </w:r>
    </w:p>
    <w:p w14:paraId="61A868A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本项目的核心科学贡献在于对镁合金在高应变速率下变形微观机理（涉及孪晶、第二相、再结晶、裂纹交互作用）及多尺度组织强韧化机制的探索与深化。“竞争形核机制”、“孪晶-再结晶协同钝化机理”及“多尺度组织协同强化”不仅成功解决了高质高效成形的技术瓶颈，实现了镁合金短流程、高成材率、高性能化，更拓展了密排六方金属塑性变形理论及强韧化机制，具有很好的科学价值。成果获多项国家及省部级基金持续支持，发表包括ESI高被引论文在内的高水平SCI论文10余篇，总引超600次，代表论文5篇，其中ESI高被引论文2篇，总引368余次，SCI他引325余次，单篇最高SCI他引103次，获美、德、英、日等十余国学者广泛引用与积极评价，为厦门市及国家重要产业实现关键部件轻量化设计与高效制备提供理论依据与技术支撑。</w:t>
      </w:r>
    </w:p>
    <w:p w14:paraId="239C5C6E">
      <w:pPr>
        <w:spacing w:line="360" w:lineRule="auto"/>
        <w:rPr>
          <w:rFonts w:hint="default" w:ascii="Times New Roman" w:hAnsi="Times New Roman" w:cs="Times New Roman"/>
          <w:sz w:val="18"/>
          <w:szCs w:val="18"/>
          <w:lang w:val="en-US" w:eastAsia="zh-CN"/>
        </w:rPr>
      </w:pPr>
      <w:r>
        <w:rPr>
          <w:rFonts w:hint="eastAsia" w:ascii="Times New Roman" w:hAnsi="Times New Roman" w:cs="Times New Roman"/>
          <w:b/>
          <w:bCs/>
          <w:sz w:val="18"/>
          <w:szCs w:val="18"/>
          <w:lang w:val="en-US" w:eastAsia="zh-CN"/>
        </w:rPr>
        <w:t>五、</w:t>
      </w:r>
      <w:r>
        <w:rPr>
          <w:rFonts w:hint="default" w:ascii="Times New Roman" w:hAnsi="Times New Roman" w:cs="Times New Roman"/>
          <w:b/>
          <w:bCs/>
          <w:sz w:val="18"/>
          <w:szCs w:val="18"/>
          <w:lang w:val="en-US" w:eastAsia="zh-CN"/>
        </w:rPr>
        <w:t>主要完成单位：</w:t>
      </w:r>
      <w:r>
        <w:rPr>
          <w:rFonts w:hint="default" w:ascii="Times New Roman" w:hAnsi="Times New Roman" w:cs="Times New Roman"/>
          <w:sz w:val="18"/>
          <w:szCs w:val="18"/>
          <w:lang w:val="en-US" w:eastAsia="zh-CN"/>
        </w:rPr>
        <w:t>集美大学、湖南科技大学、中南林业科技大学</w:t>
      </w:r>
    </w:p>
    <w:p w14:paraId="47D85BD7">
      <w:pPr>
        <w:spacing w:line="360" w:lineRule="auto"/>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六、</w:t>
      </w:r>
      <w:r>
        <w:rPr>
          <w:rFonts w:hint="default" w:ascii="Times New Roman" w:hAnsi="Times New Roman" w:cs="Times New Roman"/>
          <w:b/>
          <w:bCs/>
          <w:sz w:val="18"/>
          <w:szCs w:val="18"/>
          <w:lang w:val="en-US" w:eastAsia="zh-CN"/>
        </w:rPr>
        <w:t>主要完成人</w:t>
      </w:r>
      <w:r>
        <w:rPr>
          <w:rFonts w:hint="eastAsia" w:ascii="Times New Roman" w:hAnsi="Times New Roman" w:cs="Times New Roman"/>
          <w:b/>
          <w:bCs/>
          <w:sz w:val="18"/>
          <w:szCs w:val="18"/>
          <w:lang w:val="en-US" w:eastAsia="zh-CN"/>
        </w:rPr>
        <w:t>及其贡献</w:t>
      </w:r>
      <w:r>
        <w:rPr>
          <w:rFonts w:hint="default" w:ascii="Times New Roman" w:hAnsi="Times New Roman" w:cs="Times New Roman"/>
          <w:b/>
          <w:bCs/>
          <w:sz w:val="18"/>
          <w:szCs w:val="18"/>
          <w:lang w:val="en-US" w:eastAsia="zh-CN"/>
        </w:rPr>
        <w:t>：</w:t>
      </w:r>
    </w:p>
    <w:p w14:paraId="02E9637E">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b/>
          <w:bCs/>
          <w:sz w:val="18"/>
          <w:szCs w:val="18"/>
          <w:lang w:val="en-US" w:eastAsia="zh-CN"/>
        </w:rPr>
        <w:t>刘筱：</w:t>
      </w:r>
      <w:r>
        <w:rPr>
          <w:rFonts w:hint="default" w:ascii="Times New Roman" w:hAnsi="Times New Roman" w:cs="Times New Roman"/>
          <w:sz w:val="18"/>
          <w:szCs w:val="18"/>
          <w:lang w:val="en-US" w:eastAsia="zh-CN"/>
        </w:rPr>
        <w:t>本项目的第一完成人，是代表作1、2和4的第一作者及3和5的通讯作者，重要科学发现1、2和3的主要完成人。提出了孪晶诱导再结晶、第二相和微裂纹的竞争形核机制，开发镁合金高应变速率轧制成形技术；阐明了“孪晶-再结晶协同钝化裂纹”抑制边裂机理，利用孪晶界触发的再结晶钝化裂纹抑制边裂扩展，提高高应变速率轧制板材成材率；构建“孪晶多尺度组织协同强韧化”理论框架，通过高应变速率轧制制备孪晶、细晶和第二相的多尺度组织，提出孪晶强化、剪切带强化、细晶强化和第二相强化协同提高机制，提高高速重载工况下材料抗冲击韧性。在该项目中的工作量贡献占40%，贡献证明材料为附件-代表作1-5。</w:t>
      </w:r>
    </w:p>
    <w:p w14:paraId="287CA2F4">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b/>
          <w:bCs/>
          <w:sz w:val="18"/>
          <w:szCs w:val="18"/>
          <w:lang w:val="en-US" w:eastAsia="zh-CN"/>
        </w:rPr>
        <w:t>朱必武：</w:t>
      </w:r>
      <w:r>
        <w:rPr>
          <w:rFonts w:hint="default" w:ascii="Times New Roman" w:hAnsi="Times New Roman" w:cs="Times New Roman"/>
          <w:sz w:val="18"/>
          <w:szCs w:val="18"/>
          <w:lang w:val="en-US" w:eastAsia="zh-CN"/>
        </w:rPr>
        <w:t>本项目的第二完成人，是代表作3的第一作者及1、2和4的通讯作者，重要科学发现1、2和3的主要完成人。揭示了孪晶诱导再结晶和第二相不均匀析出机制，发现当应变速率突破10s-1阈值时，在宽温度区间内可实现高应变速率塑性大变形；阐明“孪晶-再结晶协同钝化裂纹”抑制边裂机理，发现裂纹尖端产生孪晶和再结晶可抑制裂纹；提出孪晶强化、剪切带强化、细晶强化和第二相强化协同提高机制，构建“孪晶多尺度组织协同强韧化”理论框架。在该项目中的工作量贡献占25%，贡献证明材料为附件-代表作1-5。</w:t>
      </w:r>
    </w:p>
    <w:p w14:paraId="0BEA9D2D">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b/>
          <w:bCs/>
          <w:sz w:val="18"/>
          <w:szCs w:val="18"/>
          <w:lang w:val="en-US" w:eastAsia="zh-CN"/>
        </w:rPr>
        <w:t>郭鹏程：</w:t>
      </w:r>
      <w:r>
        <w:rPr>
          <w:rFonts w:hint="default" w:ascii="Times New Roman" w:hAnsi="Times New Roman" w:cs="Times New Roman"/>
          <w:sz w:val="18"/>
          <w:szCs w:val="18"/>
          <w:lang w:val="en-US" w:eastAsia="zh-CN"/>
        </w:rPr>
        <w:t>本项目的第三完成人，是代表作5的第一作者和代表作2和3的参与作者，重要科学发现3的主要完成人，参与完成重要科学发现1和2。构建“孪晶诱导的多尺度组织协同强韧化”理论框架，发现孪晶界、剪切带和第二相附近的位错堆积既给予再结晶形核位置，又提供激活能，从而引发动态再结晶，减轻应力集中，增强冲击韧性；发现了裂纹尖端发生孪晶诱导动态再结晶现象。在该项目中的工作量贡献占15%，贡献证明材料为附件-代表作2、3和5。</w:t>
      </w:r>
    </w:p>
    <w:p w14:paraId="09B2E5FD">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b/>
          <w:bCs/>
          <w:sz w:val="18"/>
          <w:szCs w:val="18"/>
          <w:lang w:val="en-US" w:eastAsia="zh-CN"/>
        </w:rPr>
        <w:t>唐昌平：</w:t>
      </w:r>
      <w:r>
        <w:rPr>
          <w:rFonts w:hint="default" w:ascii="Times New Roman" w:hAnsi="Times New Roman" w:cs="Times New Roman"/>
          <w:sz w:val="18"/>
          <w:szCs w:val="18"/>
          <w:lang w:val="en-US" w:eastAsia="zh-CN"/>
        </w:rPr>
        <w:t>本项目的第四完成人，是代表作1、3、4的主要作者，参与重要科学发现1的主要完成人，参与完成重要发现2和3。发现在变形过程中孪晶界塞积位错，为动态再结晶、第二相与微裂纹等微结构提供形核位置；发现裂纹尖端发射位错；利用高应变速率轧制制备了孪晶、细晶和第二相的多尺度组织，发现冲击过程中孪晶有利于诱导动态再结晶。在该项目中的工作量贡献占10%，贡献证明材料为附件-代表作1、3和4。</w:t>
      </w:r>
    </w:p>
    <w:p w14:paraId="6A5E4680">
      <w:pPr>
        <w:spacing w:line="360" w:lineRule="auto"/>
        <w:rPr>
          <w:rFonts w:hint="default" w:ascii="Times New Roman" w:hAnsi="Times New Roman" w:cs="Times New Roman"/>
          <w:sz w:val="18"/>
          <w:szCs w:val="18"/>
          <w:lang w:val="en-US" w:eastAsia="zh-CN"/>
        </w:rPr>
      </w:pPr>
      <w:r>
        <w:rPr>
          <w:rFonts w:hint="default" w:ascii="Times New Roman" w:hAnsi="Times New Roman" w:cs="Times New Roman"/>
          <w:b/>
          <w:bCs/>
          <w:sz w:val="18"/>
          <w:szCs w:val="18"/>
          <w:lang w:val="en-US" w:eastAsia="zh-CN"/>
        </w:rPr>
        <w:t>刘文辉：</w:t>
      </w:r>
      <w:r>
        <w:rPr>
          <w:rFonts w:hint="default" w:ascii="Times New Roman" w:hAnsi="Times New Roman" w:cs="Times New Roman"/>
          <w:sz w:val="18"/>
          <w:szCs w:val="18"/>
          <w:lang w:val="en-US" w:eastAsia="zh-CN"/>
        </w:rPr>
        <w:t>本项目的第五完成人，是代表作3的共同通讯作者和代表作2、4和5的主要作者，重要发现2的主要完成人，参与完成重要科学发现1和3。发现具有较高弹性应变能的拉伸孪晶界析出第二相；提出孪晶和细小再结晶可以抑制裂纹扩展；发现孪晶诱导的混晶组织中孪晶和剪切带的引入可以提高抗冲击强度。在该项目中的工作量贡献占10%，贡献证明材料为附件-代表作2、3、4和5。</w:t>
      </w:r>
    </w:p>
    <w:p w14:paraId="7EEE0773">
      <w:pPr>
        <w:spacing w:line="360" w:lineRule="auto"/>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七、</w:t>
      </w:r>
      <w:r>
        <w:rPr>
          <w:rFonts w:hint="default" w:ascii="Times New Roman" w:hAnsi="Times New Roman" w:cs="Times New Roman"/>
          <w:b/>
          <w:bCs/>
          <w:sz w:val="18"/>
          <w:szCs w:val="18"/>
          <w:lang w:val="en-US" w:eastAsia="zh-CN"/>
        </w:rPr>
        <w:t>代表</w:t>
      </w:r>
      <w:r>
        <w:rPr>
          <w:rFonts w:hint="eastAsia" w:ascii="Times New Roman" w:hAnsi="Times New Roman" w:cs="Times New Roman"/>
          <w:b/>
          <w:bCs/>
          <w:sz w:val="18"/>
          <w:szCs w:val="18"/>
          <w:lang w:val="en-US" w:eastAsia="zh-CN"/>
        </w:rPr>
        <w:t>作目录</w:t>
      </w:r>
      <w:r>
        <w:rPr>
          <w:rFonts w:hint="default" w:ascii="Times New Roman" w:hAnsi="Times New Roman" w:cs="Times New Roman"/>
          <w:b/>
          <w:bCs/>
          <w:sz w:val="18"/>
          <w:szCs w:val="18"/>
          <w:lang w:val="en-US" w:eastAsia="zh-CN"/>
        </w:rPr>
        <w:t>：</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2"/>
        <w:gridCol w:w="3058"/>
        <w:gridCol w:w="2016"/>
        <w:gridCol w:w="1864"/>
        <w:gridCol w:w="1172"/>
      </w:tblGrid>
      <w:tr w14:paraId="23E6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0" w:type="auto"/>
            <w:vAlign w:val="center"/>
          </w:tcPr>
          <w:p w14:paraId="3BF77054">
            <w:pPr>
              <w:jc w:val="center"/>
              <w:rPr>
                <w:rFonts w:hint="default" w:ascii="Times New Roman" w:hAnsi="Times New Roman" w:cs="Times New Roman"/>
                <w:b/>
                <w:bCs w:val="0"/>
                <w:sz w:val="18"/>
                <w:szCs w:val="18"/>
              </w:rPr>
            </w:pPr>
            <w:r>
              <w:rPr>
                <w:rFonts w:hint="default" w:ascii="Times New Roman" w:hAnsi="Times New Roman" w:cs="Times New Roman"/>
                <w:b/>
                <w:bCs w:val="0"/>
                <w:sz w:val="18"/>
                <w:szCs w:val="18"/>
              </w:rPr>
              <w:t>序号</w:t>
            </w:r>
          </w:p>
        </w:tc>
        <w:tc>
          <w:tcPr>
            <w:tcW w:w="0" w:type="auto"/>
            <w:vAlign w:val="center"/>
          </w:tcPr>
          <w:p w14:paraId="78045B17">
            <w:pPr>
              <w:jc w:val="center"/>
              <w:rPr>
                <w:rFonts w:hint="default" w:ascii="Times New Roman" w:hAnsi="Times New Roman" w:cs="Times New Roman"/>
                <w:b/>
                <w:sz w:val="18"/>
                <w:szCs w:val="18"/>
              </w:rPr>
            </w:pPr>
            <w:r>
              <w:rPr>
                <w:rFonts w:hint="default" w:ascii="Times New Roman" w:hAnsi="Times New Roman" w:cs="Times New Roman"/>
                <w:b/>
                <w:sz w:val="18"/>
                <w:szCs w:val="18"/>
              </w:rPr>
              <w:t>文章题录</w:t>
            </w:r>
          </w:p>
        </w:tc>
        <w:tc>
          <w:tcPr>
            <w:tcW w:w="0" w:type="auto"/>
            <w:vAlign w:val="center"/>
          </w:tcPr>
          <w:p w14:paraId="6F865F27">
            <w:pPr>
              <w:jc w:val="center"/>
              <w:rPr>
                <w:rFonts w:hint="default" w:ascii="Times New Roman" w:hAnsi="Times New Roman" w:cs="Times New Roman" w:eastAsiaTheme="minorEastAsia"/>
                <w:b/>
                <w:color w:val="FF0000"/>
                <w:sz w:val="18"/>
                <w:szCs w:val="18"/>
                <w:lang w:val="en-US" w:eastAsia="zh-CN"/>
              </w:rPr>
            </w:pPr>
            <w:r>
              <w:rPr>
                <w:rFonts w:hint="eastAsia" w:ascii="Times New Roman" w:hAnsi="Times New Roman" w:cs="Times New Roman"/>
                <w:b/>
                <w:sz w:val="18"/>
                <w:szCs w:val="18"/>
                <w:lang w:val="en-US" w:eastAsia="zh-CN"/>
              </w:rPr>
              <w:t>WOS</w:t>
            </w:r>
          </w:p>
        </w:tc>
        <w:tc>
          <w:tcPr>
            <w:tcW w:w="0" w:type="auto"/>
            <w:vAlign w:val="center"/>
          </w:tcPr>
          <w:p w14:paraId="35F403C2">
            <w:pPr>
              <w:jc w:val="center"/>
              <w:rPr>
                <w:rFonts w:hint="eastAsia" w:ascii="Times New Roman" w:hAnsi="Times New Roman" w:cs="Times New Roman" w:eastAsiaTheme="minorEastAsia"/>
                <w:b/>
                <w:sz w:val="18"/>
                <w:szCs w:val="18"/>
                <w:lang w:eastAsia="zh-CN"/>
              </w:rPr>
            </w:pPr>
            <w:r>
              <w:rPr>
                <w:rFonts w:hint="eastAsia" w:ascii="Times New Roman" w:hAnsi="Times New Roman" w:cs="Times New Roman"/>
                <w:b/>
                <w:sz w:val="18"/>
                <w:szCs w:val="18"/>
                <w:lang w:val="en-US" w:eastAsia="zh-CN"/>
              </w:rPr>
              <w:t>单位</w:t>
            </w:r>
          </w:p>
        </w:tc>
        <w:tc>
          <w:tcPr>
            <w:tcW w:w="0" w:type="auto"/>
            <w:vAlign w:val="center"/>
          </w:tcPr>
          <w:p w14:paraId="36D54672">
            <w:pPr>
              <w:jc w:val="center"/>
              <w:rPr>
                <w:rFonts w:hint="eastAsia" w:ascii="Times New Roman" w:hAnsi="Times New Roman" w:cs="Times New Roman" w:eastAsiaTheme="minorEastAsia"/>
                <w:b/>
                <w:sz w:val="18"/>
                <w:szCs w:val="18"/>
                <w:lang w:eastAsia="zh-CN"/>
              </w:rPr>
            </w:pPr>
            <w:r>
              <w:rPr>
                <w:rFonts w:hint="eastAsia" w:ascii="Times New Roman" w:hAnsi="Times New Roman" w:cs="Times New Roman"/>
                <w:b/>
                <w:sz w:val="18"/>
                <w:szCs w:val="18"/>
                <w:lang w:val="en-US" w:eastAsia="zh-CN"/>
              </w:rPr>
              <w:t>作者</w:t>
            </w:r>
          </w:p>
        </w:tc>
      </w:tr>
      <w:tr w14:paraId="3CB8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0" w:type="auto"/>
            <w:vAlign w:val="center"/>
          </w:tcPr>
          <w:p w14:paraId="7E28B37C">
            <w:pPr>
              <w:jc w:val="center"/>
              <w:rPr>
                <w:rFonts w:hint="eastAsia" w:ascii="Times New Roman" w:hAnsi="Times New Roman" w:cs="Times New Roman" w:eastAsiaTheme="minorEastAsia"/>
                <w:b/>
                <w:bCs w:val="0"/>
                <w:sz w:val="18"/>
                <w:szCs w:val="18"/>
                <w:lang w:val="en-US" w:eastAsia="zh-CN"/>
              </w:rPr>
            </w:pPr>
            <w:r>
              <w:rPr>
                <w:rFonts w:hint="eastAsia" w:ascii="Times New Roman" w:hAnsi="Times New Roman" w:cs="Times New Roman"/>
                <w:b/>
                <w:bCs w:val="0"/>
                <w:sz w:val="18"/>
                <w:szCs w:val="18"/>
                <w:lang w:val="en-US" w:eastAsia="zh-CN"/>
              </w:rPr>
              <w:t>1</w:t>
            </w:r>
          </w:p>
        </w:tc>
        <w:tc>
          <w:tcPr>
            <w:tcW w:w="0" w:type="auto"/>
            <w:shd w:val="clear" w:color="auto" w:fill="auto"/>
            <w:vAlign w:val="center"/>
          </w:tcPr>
          <w:p w14:paraId="05AEB008">
            <w:pPr>
              <w:keepNext w:val="0"/>
              <w:keepLines w:val="0"/>
              <w:pageBreakBefore w:val="0"/>
              <w:widowControl w:val="0"/>
              <w:kinsoku/>
              <w:wordWrap/>
              <w:overflowPunct/>
              <w:topLinePunct w:val="0"/>
              <w:bidi w:val="0"/>
              <w:snapToGrid/>
              <w:spacing w:line="264"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Twinning, dynamic recrystallization, and crack in AZ31 magnesium alloy during high strain rate plane strain compression across a wide temperature</w:t>
            </w:r>
            <w:r>
              <w:rPr>
                <w:rFonts w:hint="eastAsia" w:ascii="Times New Roman" w:hAnsi="Times New Roman" w:cs="Times New Roman"/>
                <w:sz w:val="18"/>
                <w:szCs w:val="18"/>
                <w:lang w:val="en-US" w:eastAsia="zh-CN"/>
              </w:rPr>
              <w:t>[J]</w:t>
            </w:r>
            <w:r>
              <w:rPr>
                <w:rFonts w:hint="default" w:ascii="Times New Roman" w:hAnsi="Times New Roman" w:cs="Times New Roman"/>
                <w:sz w:val="18"/>
                <w:szCs w:val="18"/>
              </w:rPr>
              <w:t>, Materials Science and Engineering A, 2018, 733:98-107</w:t>
            </w:r>
          </w:p>
        </w:tc>
        <w:tc>
          <w:tcPr>
            <w:tcW w:w="0" w:type="auto"/>
            <w:shd w:val="clear" w:color="auto" w:fill="auto"/>
            <w:vAlign w:val="center"/>
          </w:tcPr>
          <w:p w14:paraId="34F58D72">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WOS:000442064800012</w:t>
            </w:r>
          </w:p>
        </w:tc>
        <w:tc>
          <w:tcPr>
            <w:tcW w:w="0" w:type="auto"/>
            <w:shd w:val="clear" w:color="auto" w:fill="auto"/>
            <w:vAlign w:val="center"/>
          </w:tcPr>
          <w:p w14:paraId="6A68A38B">
            <w:pPr>
              <w:jc w:val="center"/>
              <w:rPr>
                <w:rFonts w:hint="default" w:ascii="Times New Roman" w:hAnsi="Times New Roman" w:cs="Times New Roman" w:eastAsiaTheme="minorEastAsia"/>
                <w:b w:val="0"/>
                <w:bCs/>
                <w:kern w:val="2"/>
                <w:sz w:val="18"/>
                <w:szCs w:val="18"/>
                <w:lang w:val="en-US" w:eastAsia="zh-CN" w:bidi="ar-SA"/>
              </w:rPr>
            </w:pPr>
            <w:r>
              <w:rPr>
                <w:rFonts w:hint="eastAsia" w:ascii="Times New Roman" w:hAnsi="Times New Roman" w:cs="Times New Roman"/>
                <w:b w:val="0"/>
                <w:bCs/>
                <w:sz w:val="18"/>
                <w:szCs w:val="18"/>
                <w:lang w:val="en-US" w:eastAsia="zh-CN"/>
              </w:rPr>
              <w:t>湖南科技大学、宁波大学</w:t>
            </w:r>
          </w:p>
        </w:tc>
        <w:tc>
          <w:tcPr>
            <w:tcW w:w="0" w:type="auto"/>
            <w:shd w:val="clear" w:color="auto" w:fill="auto"/>
            <w:vAlign w:val="center"/>
          </w:tcPr>
          <w:p w14:paraId="152E335A">
            <w:pPr>
              <w:jc w:val="both"/>
              <w:rPr>
                <w:rFonts w:hint="default" w:ascii="Times New Roman" w:hAnsi="Times New Roman" w:cs="Times New Roman" w:eastAsiaTheme="minorEastAsia"/>
                <w:b w:val="0"/>
                <w:bCs/>
                <w:kern w:val="2"/>
                <w:sz w:val="18"/>
                <w:szCs w:val="18"/>
                <w:lang w:val="en-US" w:eastAsia="zh-CN" w:bidi="ar-SA"/>
              </w:rPr>
            </w:pPr>
            <w:r>
              <w:rPr>
                <w:rFonts w:hint="eastAsia" w:ascii="Times New Roman" w:hAnsi="Times New Roman" w:cs="Times New Roman"/>
                <w:b w:val="0"/>
                <w:bCs/>
                <w:kern w:val="2"/>
                <w:sz w:val="18"/>
                <w:szCs w:val="18"/>
                <w:lang w:val="en-US" w:eastAsia="zh-CN" w:bidi="ar-SA"/>
              </w:rPr>
              <w:t>刘筱、朱必武（通讯作者）、张珺、唐昌平、陈宇强</w:t>
            </w:r>
          </w:p>
        </w:tc>
      </w:tr>
      <w:tr w14:paraId="0716D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3" w:hRule="atLeast"/>
        </w:trPr>
        <w:tc>
          <w:tcPr>
            <w:tcW w:w="0" w:type="auto"/>
            <w:vAlign w:val="center"/>
          </w:tcPr>
          <w:p w14:paraId="47F10BB7">
            <w:pPr>
              <w:jc w:val="center"/>
              <w:rPr>
                <w:rFonts w:hint="default" w:ascii="Times New Roman" w:hAnsi="Times New Roman" w:cs="Times New Roman"/>
                <w:b/>
                <w:bCs w:val="0"/>
                <w:sz w:val="18"/>
                <w:szCs w:val="18"/>
                <w:lang w:val="en-US" w:eastAsia="zh-CN"/>
              </w:rPr>
            </w:pPr>
            <w:r>
              <w:rPr>
                <w:rFonts w:hint="eastAsia" w:ascii="Times New Roman" w:hAnsi="Times New Roman" w:cs="Times New Roman"/>
                <w:b/>
                <w:bCs w:val="0"/>
                <w:sz w:val="18"/>
                <w:szCs w:val="18"/>
                <w:lang w:val="en-US" w:eastAsia="zh-CN"/>
              </w:rPr>
              <w:t>2</w:t>
            </w:r>
          </w:p>
        </w:tc>
        <w:tc>
          <w:tcPr>
            <w:tcW w:w="0" w:type="auto"/>
            <w:shd w:val="clear" w:color="auto" w:fill="auto"/>
            <w:vAlign w:val="center"/>
          </w:tcPr>
          <w:p w14:paraId="615C4F1C">
            <w:pPr>
              <w:keepNext w:val="0"/>
              <w:keepLines w:val="0"/>
              <w:pageBreakBefore w:val="0"/>
              <w:widowControl w:val="0"/>
              <w:kinsoku/>
              <w:wordWrap/>
              <w:overflowPunct/>
              <w:topLinePunct w:val="0"/>
              <w:bidi w:val="0"/>
              <w:snapToGrid/>
              <w:spacing w:line="264" w:lineRule="auto"/>
              <w:jc w:val="both"/>
              <w:textAlignment w:val="auto"/>
              <w:rPr>
                <w:rFonts w:hint="default" w:ascii="Times New Roman" w:hAnsi="Times New Roman" w:cs="Times New Roman" w:eastAsiaTheme="minorEastAsia"/>
                <w:b/>
                <w:kern w:val="2"/>
                <w:sz w:val="18"/>
                <w:szCs w:val="18"/>
                <w:lang w:val="en-US" w:eastAsia="zh-CN" w:bidi="ar-SA"/>
              </w:rPr>
            </w:pPr>
            <w:r>
              <w:rPr>
                <w:rFonts w:hint="default" w:ascii="Times New Roman" w:hAnsi="Times New Roman" w:cs="Times New Roman"/>
                <w:b w:val="0"/>
                <w:bCs/>
                <w:sz w:val="18"/>
                <w:szCs w:val="18"/>
              </w:rPr>
              <w:t>Effect of low-angle grain boundary and twin on precipitation mechanism in pre-rolled AZ91 magnesium alloy</w:t>
            </w:r>
            <w:r>
              <w:rPr>
                <w:rFonts w:hint="eastAsia" w:ascii="Times New Roman" w:hAnsi="Times New Roman" w:cs="Times New Roman"/>
                <w:b w:val="0"/>
                <w:bCs/>
                <w:sz w:val="18"/>
                <w:szCs w:val="18"/>
                <w:lang w:val="en-US" w:eastAsia="zh-CN"/>
              </w:rPr>
              <w:t>[J]</w:t>
            </w:r>
            <w:r>
              <w:rPr>
                <w:rFonts w:hint="default" w:ascii="Times New Roman" w:hAnsi="Times New Roman" w:cs="Times New Roman"/>
                <w:b w:val="0"/>
                <w:bCs/>
                <w:sz w:val="18"/>
                <w:szCs w:val="18"/>
              </w:rPr>
              <w:t>, Journal of Materials Science, 2024,59:3662-3675</w:t>
            </w:r>
          </w:p>
        </w:tc>
        <w:tc>
          <w:tcPr>
            <w:tcW w:w="0" w:type="auto"/>
            <w:shd w:val="clear" w:color="auto" w:fill="auto"/>
            <w:vAlign w:val="center"/>
          </w:tcPr>
          <w:p w14:paraId="0502B7B0">
            <w:pPr>
              <w:jc w:val="center"/>
              <w:rPr>
                <w:rFonts w:hint="default" w:ascii="Times New Roman" w:hAnsi="Times New Roman" w:cs="Times New Roman" w:eastAsiaTheme="minorEastAsia"/>
                <w:b/>
                <w:kern w:val="2"/>
                <w:sz w:val="18"/>
                <w:szCs w:val="18"/>
                <w:lang w:val="en-US" w:eastAsia="zh-CN" w:bidi="ar-SA"/>
              </w:rPr>
            </w:pPr>
            <w:r>
              <w:rPr>
                <w:rFonts w:hint="default" w:ascii="Times New Roman" w:hAnsi="Times New Roman" w:cs="Times New Roman"/>
                <w:sz w:val="18"/>
                <w:szCs w:val="18"/>
              </w:rPr>
              <w:t>WOS:001155879100001</w:t>
            </w:r>
          </w:p>
        </w:tc>
        <w:tc>
          <w:tcPr>
            <w:tcW w:w="0" w:type="auto"/>
            <w:shd w:val="clear" w:color="auto" w:fill="auto"/>
            <w:vAlign w:val="center"/>
          </w:tcPr>
          <w:p w14:paraId="66132E10">
            <w:pPr>
              <w:jc w:val="center"/>
              <w:rPr>
                <w:rFonts w:hint="eastAsia"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集美大学、湖南大学重庆研究院、湖南科技大学</w:t>
            </w:r>
          </w:p>
        </w:tc>
        <w:tc>
          <w:tcPr>
            <w:tcW w:w="0" w:type="auto"/>
            <w:shd w:val="clear" w:color="auto" w:fill="auto"/>
            <w:vAlign w:val="center"/>
          </w:tcPr>
          <w:p w14:paraId="4D812E03">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刘筱、万泉慧、朱必武（通讯作者）、刘文辉、李落星、徐从昌、郭鹏程</w:t>
            </w:r>
          </w:p>
        </w:tc>
      </w:tr>
      <w:tr w14:paraId="2661C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F554BA1">
            <w:pPr>
              <w:jc w:val="center"/>
              <w:rPr>
                <w:rFonts w:hint="eastAsia" w:ascii="Times New Roman" w:hAnsi="Times New Roman" w:cs="Times New Roman" w:eastAsiaTheme="minorEastAsia"/>
                <w:b/>
                <w:bCs w:val="0"/>
                <w:sz w:val="18"/>
                <w:szCs w:val="18"/>
                <w:lang w:val="en-US" w:eastAsia="zh-CN"/>
              </w:rPr>
            </w:pPr>
            <w:r>
              <w:rPr>
                <w:rFonts w:hint="eastAsia" w:ascii="Times New Roman" w:hAnsi="Times New Roman" w:cs="Times New Roman"/>
                <w:b/>
                <w:bCs w:val="0"/>
                <w:sz w:val="18"/>
                <w:szCs w:val="18"/>
                <w:lang w:val="en-US" w:eastAsia="zh-CN"/>
              </w:rPr>
              <w:t>3</w:t>
            </w:r>
          </w:p>
        </w:tc>
        <w:tc>
          <w:tcPr>
            <w:tcW w:w="0" w:type="auto"/>
            <w:vAlign w:val="center"/>
          </w:tcPr>
          <w:p w14:paraId="6E4646C8">
            <w:pPr>
              <w:keepNext w:val="0"/>
              <w:keepLines w:val="0"/>
              <w:pageBreakBefore w:val="0"/>
              <w:widowControl w:val="0"/>
              <w:kinsoku/>
              <w:wordWrap/>
              <w:overflowPunct/>
              <w:topLinePunct w:val="0"/>
              <w:autoSpaceDE w:val="0"/>
              <w:autoSpaceDN w:val="0"/>
              <w:bidi w:val="0"/>
              <w:adjustRightInd w:val="0"/>
              <w:snapToGrid/>
              <w:spacing w:line="264" w:lineRule="auto"/>
              <w:jc w:val="both"/>
              <w:textAlignment w:val="auto"/>
              <w:rPr>
                <w:rFonts w:hint="default" w:ascii="Times New Roman" w:hAnsi="Times New Roman" w:eastAsia="微软雅黑" w:cs="Times New Roman"/>
                <w:bCs/>
                <w:color w:val="333333"/>
                <w:sz w:val="18"/>
                <w:szCs w:val="18"/>
              </w:rPr>
            </w:pPr>
            <w:r>
              <w:rPr>
                <w:rFonts w:hint="default" w:ascii="Times New Roman" w:hAnsi="Times New Roman" w:eastAsia="微软雅黑" w:cs="Times New Roman"/>
                <w:bCs/>
                <w:color w:val="333333"/>
                <w:sz w:val="18"/>
                <w:szCs w:val="18"/>
              </w:rPr>
              <w:t>Unveiling the underlying mechanism of forming edge cracks upon high strain-rate rolling of magnesium alloy</w:t>
            </w:r>
            <w:r>
              <w:rPr>
                <w:rFonts w:hint="eastAsia" w:ascii="Times New Roman" w:hAnsi="Times New Roman" w:eastAsia="微软雅黑" w:cs="Times New Roman"/>
                <w:bCs/>
                <w:color w:val="333333"/>
                <w:sz w:val="18"/>
                <w:szCs w:val="18"/>
                <w:lang w:val="en-US" w:eastAsia="zh-CN"/>
              </w:rPr>
              <w:t>[J]</w:t>
            </w:r>
            <w:r>
              <w:rPr>
                <w:rFonts w:hint="default" w:ascii="Times New Roman" w:hAnsi="Times New Roman" w:eastAsia="微软雅黑" w:cs="Times New Roman"/>
                <w:bCs/>
                <w:color w:val="333333"/>
                <w:sz w:val="18"/>
                <w:szCs w:val="18"/>
              </w:rPr>
              <w:t>, Journal of Materials Science &amp; Technology, 2020, 50:59-65</w:t>
            </w:r>
          </w:p>
        </w:tc>
        <w:tc>
          <w:tcPr>
            <w:tcW w:w="0" w:type="auto"/>
            <w:vAlign w:val="center"/>
          </w:tcPr>
          <w:p w14:paraId="75A69860">
            <w:pPr>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WOS:000537588800006</w:t>
            </w:r>
          </w:p>
        </w:tc>
        <w:tc>
          <w:tcPr>
            <w:tcW w:w="0" w:type="auto"/>
            <w:shd w:val="clear" w:color="auto" w:fill="auto"/>
            <w:vAlign w:val="center"/>
          </w:tcPr>
          <w:p w14:paraId="1DDD8599">
            <w:pPr>
              <w:jc w:val="center"/>
              <w:rPr>
                <w:rFonts w:hint="eastAsia"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 xml:space="preserve">湖南科技大学、宁波大学、Max-Planck-Institut </w:t>
            </w:r>
          </w:p>
          <w:p w14:paraId="1C307A17">
            <w:pPr>
              <w:jc w:val="center"/>
              <w:rPr>
                <w:rFonts w:hint="eastAsia"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 xml:space="preserve">für </w:t>
            </w:r>
          </w:p>
          <w:p w14:paraId="453D498C">
            <w:pPr>
              <w:jc w:val="center"/>
              <w:rPr>
                <w:rFonts w:hint="eastAsia"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 xml:space="preserve">Eisenforschung </w:t>
            </w:r>
          </w:p>
          <w:p w14:paraId="0F3DCC07">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GmbH、中南林业科技大学</w:t>
            </w:r>
          </w:p>
        </w:tc>
        <w:tc>
          <w:tcPr>
            <w:tcW w:w="0" w:type="auto"/>
            <w:shd w:val="clear" w:color="auto" w:fill="auto"/>
            <w:vAlign w:val="center"/>
          </w:tcPr>
          <w:p w14:paraId="7ACCA65F">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朱必武、刘筱（通讯作者）、谢超、苏婧、郭鹏程、唐昌平、刘文辉（通讯作者）</w:t>
            </w:r>
          </w:p>
        </w:tc>
      </w:tr>
      <w:tr w14:paraId="195A1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D8F49AE">
            <w:pPr>
              <w:jc w:val="center"/>
              <w:rPr>
                <w:rFonts w:hint="default" w:ascii="Times New Roman" w:hAnsi="Times New Roman" w:cs="Times New Roman"/>
                <w:b/>
                <w:bCs w:val="0"/>
                <w:sz w:val="18"/>
                <w:szCs w:val="18"/>
                <w:lang w:val="en-US" w:eastAsia="zh-CN"/>
              </w:rPr>
            </w:pPr>
            <w:r>
              <w:rPr>
                <w:rFonts w:hint="eastAsia" w:ascii="Times New Roman" w:hAnsi="Times New Roman" w:cs="Times New Roman"/>
                <w:b/>
                <w:bCs w:val="0"/>
                <w:sz w:val="18"/>
                <w:szCs w:val="18"/>
                <w:lang w:val="en-US" w:eastAsia="zh-CN"/>
              </w:rPr>
              <w:t>4</w:t>
            </w:r>
          </w:p>
        </w:tc>
        <w:tc>
          <w:tcPr>
            <w:tcW w:w="0" w:type="auto"/>
            <w:shd w:val="clear" w:color="auto" w:fill="auto"/>
            <w:vAlign w:val="center"/>
          </w:tcPr>
          <w:p w14:paraId="3CBDF733">
            <w:pPr>
              <w:keepNext w:val="0"/>
              <w:keepLines w:val="0"/>
              <w:pageBreakBefore w:val="0"/>
              <w:widowControl w:val="0"/>
              <w:kinsoku/>
              <w:wordWrap/>
              <w:overflowPunct/>
              <w:topLinePunct w:val="0"/>
              <w:autoSpaceDE w:val="0"/>
              <w:autoSpaceDN w:val="0"/>
              <w:bidi w:val="0"/>
              <w:adjustRightInd w:val="0"/>
              <w:snapToGrid/>
              <w:spacing w:line="264" w:lineRule="auto"/>
              <w:jc w:val="both"/>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Unveiling the mechanical response and accommodation mechanism of pre-rolled AZ31 magnesium alloy under high-speed impact loading</w:t>
            </w:r>
            <w:r>
              <w:rPr>
                <w:rFonts w:hint="eastAsia" w:ascii="Times New Roman" w:hAnsi="Times New Roman" w:cs="Times New Roman"/>
                <w:sz w:val="18"/>
                <w:szCs w:val="18"/>
                <w:lang w:val="en-US" w:eastAsia="zh-CN"/>
              </w:rPr>
              <w:t>[J]</w:t>
            </w:r>
            <w:r>
              <w:rPr>
                <w:rFonts w:hint="default" w:ascii="Times New Roman" w:hAnsi="Times New Roman" w:cs="Times New Roman"/>
                <w:sz w:val="18"/>
                <w:szCs w:val="18"/>
              </w:rPr>
              <w:t>, Journal of Magnesium and Alloys, 2022,10:1096-1108</w:t>
            </w:r>
          </w:p>
        </w:tc>
        <w:tc>
          <w:tcPr>
            <w:tcW w:w="0" w:type="auto"/>
            <w:shd w:val="clear" w:color="auto" w:fill="auto"/>
            <w:vAlign w:val="center"/>
          </w:tcPr>
          <w:p w14:paraId="1B8DE3A7">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WOS:000815060600003</w:t>
            </w:r>
          </w:p>
        </w:tc>
        <w:tc>
          <w:tcPr>
            <w:tcW w:w="0" w:type="auto"/>
            <w:shd w:val="clear" w:color="auto" w:fill="auto"/>
            <w:vAlign w:val="center"/>
          </w:tcPr>
          <w:p w14:paraId="02B1660D">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湖南科技大学、湖南工学院</w:t>
            </w:r>
          </w:p>
        </w:tc>
        <w:tc>
          <w:tcPr>
            <w:tcW w:w="0" w:type="auto"/>
            <w:shd w:val="clear" w:color="auto" w:fill="auto"/>
            <w:vAlign w:val="center"/>
          </w:tcPr>
          <w:p w14:paraId="4B27EDA0">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刘筱、杨辉、朱必武（通讯作者）、吴远志、刘文辉，唐昌平</w:t>
            </w:r>
          </w:p>
        </w:tc>
      </w:tr>
      <w:tr w14:paraId="7A6AA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C797317">
            <w:pPr>
              <w:jc w:val="center"/>
              <w:rPr>
                <w:rFonts w:hint="eastAsia" w:ascii="Times New Roman" w:hAnsi="Times New Roman" w:cs="Times New Roman" w:eastAsiaTheme="minorEastAsia"/>
                <w:b/>
                <w:bCs w:val="0"/>
                <w:sz w:val="18"/>
                <w:szCs w:val="18"/>
                <w:lang w:val="en-US" w:eastAsia="zh-CN"/>
              </w:rPr>
            </w:pPr>
            <w:r>
              <w:rPr>
                <w:rFonts w:hint="eastAsia" w:ascii="Times New Roman" w:hAnsi="Times New Roman" w:cs="Times New Roman"/>
                <w:b/>
                <w:bCs w:val="0"/>
                <w:sz w:val="18"/>
                <w:szCs w:val="18"/>
                <w:lang w:val="en-US" w:eastAsia="zh-CN"/>
              </w:rPr>
              <w:t>5</w:t>
            </w:r>
          </w:p>
        </w:tc>
        <w:tc>
          <w:tcPr>
            <w:tcW w:w="0" w:type="auto"/>
            <w:vAlign w:val="center"/>
          </w:tcPr>
          <w:p w14:paraId="7FCFD7C1">
            <w:pPr>
              <w:keepNext w:val="0"/>
              <w:keepLines w:val="0"/>
              <w:pageBreakBefore w:val="0"/>
              <w:widowControl w:val="0"/>
              <w:kinsoku/>
              <w:wordWrap/>
              <w:overflowPunct/>
              <w:topLinePunct w:val="0"/>
              <w:bidi w:val="0"/>
              <w:snapToGrid/>
              <w:spacing w:line="264" w:lineRule="auto"/>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The microstructure evolution and deformation mechanism in a casting AM80 magnesium alloy under ultra-high strain rate loading</w:t>
            </w:r>
            <w:r>
              <w:rPr>
                <w:rFonts w:hint="eastAsia" w:ascii="Times New Roman" w:hAnsi="Times New Roman" w:cs="Times New Roman"/>
                <w:sz w:val="18"/>
                <w:szCs w:val="18"/>
                <w:lang w:val="en-US" w:eastAsia="zh-CN"/>
              </w:rPr>
              <w:t>[J]</w:t>
            </w:r>
            <w:r>
              <w:rPr>
                <w:rFonts w:hint="default" w:ascii="Times New Roman" w:hAnsi="Times New Roman" w:cs="Times New Roman"/>
                <w:sz w:val="18"/>
                <w:szCs w:val="18"/>
              </w:rPr>
              <w:t>, Journal of Magnesium and Alloys, 2022,10(11):3205-3216</w:t>
            </w:r>
          </w:p>
        </w:tc>
        <w:tc>
          <w:tcPr>
            <w:tcW w:w="0" w:type="auto"/>
            <w:shd w:val="clear" w:color="auto" w:fill="auto"/>
            <w:vAlign w:val="center"/>
          </w:tcPr>
          <w:p w14:paraId="3C2897DD">
            <w:pPr>
              <w:jc w:val="center"/>
              <w:rPr>
                <w:rFonts w:hint="default" w:ascii="Times New Roman" w:hAnsi="Times New Roman" w:cs="Times New Roman" w:eastAsiaTheme="minorEastAsia"/>
                <w:color w:val="FF0000"/>
                <w:kern w:val="2"/>
                <w:sz w:val="18"/>
                <w:szCs w:val="18"/>
                <w:lang w:val="en-US" w:eastAsia="zh-CN" w:bidi="ar-SA"/>
              </w:rPr>
            </w:pPr>
            <w:r>
              <w:rPr>
                <w:rFonts w:hint="default" w:ascii="Times New Roman" w:hAnsi="Times New Roman" w:cs="Times New Roman"/>
                <w:sz w:val="18"/>
                <w:szCs w:val="18"/>
              </w:rPr>
              <w:t>WOS:000899665900001</w:t>
            </w:r>
          </w:p>
        </w:tc>
        <w:tc>
          <w:tcPr>
            <w:tcW w:w="0" w:type="auto"/>
            <w:shd w:val="clear" w:color="auto" w:fill="auto"/>
            <w:vAlign w:val="center"/>
          </w:tcPr>
          <w:p w14:paraId="3A63B67F">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中南林业科技大学、湖南科技大学</w:t>
            </w:r>
          </w:p>
        </w:tc>
        <w:tc>
          <w:tcPr>
            <w:tcW w:w="0" w:type="auto"/>
            <w:shd w:val="clear" w:color="auto" w:fill="auto"/>
            <w:vAlign w:val="center"/>
          </w:tcPr>
          <w:p w14:paraId="38841FFE">
            <w:pPr>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郭鹏程、刘筱（通讯作者）、朱必武、刘文辉、张立</w:t>
            </w:r>
            <w:bookmarkStart w:id="0" w:name="_GoBack"/>
            <w:bookmarkEnd w:id="0"/>
            <w:r>
              <w:rPr>
                <w:rFonts w:hint="eastAsia" w:ascii="Times New Roman" w:hAnsi="Times New Roman" w:cs="Times New Roman"/>
                <w:b w:val="0"/>
                <w:bCs/>
                <w:sz w:val="18"/>
                <w:szCs w:val="18"/>
                <w:lang w:val="en-US" w:eastAsia="zh-CN"/>
              </w:rPr>
              <w:t>强</w:t>
            </w:r>
          </w:p>
        </w:tc>
      </w:tr>
    </w:tbl>
    <w:p w14:paraId="2D1417C5">
      <w:pPr>
        <w:numPr>
          <w:ilvl w:val="0"/>
          <w:numId w:val="0"/>
        </w:numPr>
        <w:spacing w:line="360" w:lineRule="auto"/>
        <w:rPr>
          <w:rFonts w:hint="eastAsia" w:ascii="Times New Roman" w:hAnsi="Times New Roman" w:cs="Times New Roman"/>
          <w:b w:val="0"/>
          <w:bCs/>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A0CAE"/>
    <w:rsid w:val="3D4235C3"/>
    <w:rsid w:val="44A6072E"/>
    <w:rsid w:val="44A82091"/>
    <w:rsid w:val="5D5C5157"/>
    <w:rsid w:val="602A0CAE"/>
    <w:rsid w:val="66C3056B"/>
    <w:rsid w:val="705C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2614</Words>
  <Characters>3453</Characters>
  <Lines>0</Lines>
  <Paragraphs>0</Paragraphs>
  <TotalTime>15</TotalTime>
  <ScaleCrop>false</ScaleCrop>
  <LinksUpToDate>false</LinksUpToDate>
  <CharactersWithSpaces>3568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2026-01-14T13:59:00Z</dcterms:created>
  <dc:creator>肖薇</dc:creator>
  <cp:lastModifiedBy>肖薇</cp:lastModifiedBy>
  <dcterms:modified xsi:type="dcterms:W3CDTF">2026-01-14T15:04:07Z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F6759254E81249989AF5B373D66EE98F_13</vt:lpwstr>
  </property>
  <property fmtid="{D5CDD505-2E9C-101B-9397-08002B2CF9AE}" pid="4" name="KSOTemplateDocerSaveRecord">
    <vt:lpwstr>eyJoZGlkIjoiM2ZiMDc3ZTJiYzU4MzEwNjkxY2FmMzY4NzVjMzNjYzkiLCJ1c2VySWQiOiIzMTMwNjI3NzMifQ==</vt:lpwstr>
  </property>
</Properties>
</file>